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20 vom 12. Dezember 2025</w:t>
      </w:r>
    </w:p>
    <w:p>
      <w:r>
        <w:t>GR Gerichte, 2025-12-12, DE</w:t>
      </w:r>
    </w:p>
    <w:p>
      <w:r>
        <w:rPr>
          <w:b/>
        </w:rPr>
        <w:t xml:space="preserve">Quelle: </w:t>
      </w:r>
      <w:r>
        <w:t>https://mcp.opencaselaw.ch/entscheid/gr_gerichte_SV2 2025 20</w:t>
      </w:r>
    </w:p>
    <w:p>
      <w:r>
        <w:t>FR: GR_GERICHTE SV2 2025 20 du 12 décembre 2025</w:t>
      </w:r>
    </w:p>
    <w:p>
      <w:r>
        <w:t>IT: GR_GERICHTE SV2 2025 20 del 12 dicembre 2025</w:t>
      </w:r>
    </w:p>
    <w:p>
      <w:pPr>
        <w:pStyle w:val="Heading2"/>
      </w:pPr>
      <w:r>
        <w:t>Regeste</w:t>
      </w:r>
    </w:p>
    <w:p>
      <w:r>
        <w:t>Einstellung in der Anspruchsberechtigung | Arbeitslosenversicherung</w:t>
      </w:r>
    </w:p>
    <w:p>
      <w:pPr>
        <w:pStyle w:val="Heading2"/>
      </w:pPr>
      <w:r>
        <w:t>Erwägungen</w:t>
      </w:r>
    </w:p>
    <w:p>
      <w:r>
        <w:rPr>
          <w:b/>
        </w:rPr>
        <w:t>E. 5</w:t>
      </w:r>
    </w:p>
    <w:p>
      <w:r>
        <w:t>/ 10 Graubünden, d.h. das Obergericht des Kantons Graubünden als örtlich zuständig (vgl. Art. 1 Abs. 1 und Art. 5 Abs. 1 des Einführungsgesetzes zur Arbeitsvermittlung und Arbeitslosenversicherung [EGzAVG/AVIG; BR 545.100] i.V.m. Art. 1 der Verordnung zum Einführungsgesetz zur Arbeitsvermittlung und Arbeitslosenversicherung [VOzEGzAVG/AVIG; BR 545.270]). Die sachliche Zuständigkeit des Obergerichts des Kantons Graubünden ergibt sich aus Art. 57 ATSG i.V.m. Art. 49 Abs. 2 lit. a VRG (BR 370.100). Als Adressat des angefochtenen Einspracheentscheids ist der Beschwerdeführer überdies berührt und weist ein schutzwürdiges Interesse an dessen gerichtlicher Überprüfung auf (Art. 59 ATSG). Auf die im Übrigen frist- und formgerecht eingereichte Beschwerde ist demnach – unter Vorbehalt der nachfolgenden Erwägung 1.2 – einzutreten (Art. 60 i.V.m. Art. 38 Abs. 2 und Abs. 4 lit. a sowie Art. 61 lit. b ATSG). 1.2. Im verwaltungsgerichtlichen Beschwerdeverfahren sind grundsätzlich nur Rechtsverhältnisse zu überprüfen bzw. zu beurteilen, zu denen die zuständige Verwaltungsbehörde vorgängig verbindlich – in Form einer Verfügung bzw. eines Einspracheentscheids – Stellung genommen hat. Insoweit bestimmt die Verfügung bzw. der Einspracheentscheid den beschwerdeweise weiterziehbaren Anfechtungsgegenstand. Umgekehrt fehlt es an einem Anfechtungsgegenstand und somit an einer Sachurteilsvoraussetzung, wenn und insoweit keine Verfügung bzw. kein Einspracheentscheid ergangen ist (vgl. BGE 144 I 11 E. 4.3, 131 V 164 E. 2.1, 125 V 413 E. 1a). Anfechtungsgegenstand des vorliegenden Verfahrens bildet der angefochtene Einspracheentscheid vom 18. März 2025, mit welchem die Einsprache vom 10. Februar 2025 gegen die Verfügung vom 4. Februar 2025 über die Einstellung in der Anspruchsberechtigung von 20 Tagen abgewiesen wurde. Nicht Streitgegenstand ist aber eine allfällige Rückforderung, deren Aufhebung der Beschwerdeführer in seiner Beschwerde vom 24. April 2024 (Poststempel) beantragt (act. A.1). Diesbezüglich ist auf die Beschwerde nicht einzutreten. 1.3. Nach Art. 43 Abs. 1 VRG entscheidet das Gericht in der Regel in der Besetzung mit drei Richterinnen und Richtern. Es entscheidet in einzelrichterlicher Kompetenz, wenn der Streitwert CHF 10'000.00 nicht überschreitet und keine Fünferbesetzung vorgeschrieben oder wenn ein Rechtsmittel offensichtlich unzulässig oder offensichtlich begründet oder unbegründet ist (Art. 43 Abs. 3 lit. a und b VRG). Ausgangspunkt für die Bemessung des Streitwerts ist vorliegend der versicherte Verdienst des Beschwerdeführers von CHF 4’458.00. Der versicherte Verdienst basiert auf 95 % einer Vollzeitbeschäftigung. Dieser Verdienst wird ihm zum Taggeldsatz von 80 % entschädigt (Art. 22 Abs. 1 AVIG; vgl. act. C.1). Dies entspricht gemäss Art. 40a AVIV einem Taggeld von CHF 164.35 (CHF 4’458.00 :</w:t>
      </w:r>
    </w:p>
    <w:p>
      <w:r>
        <w:rPr>
          <w:b/>
        </w:rPr>
        <w:t>E. 6</w:t>
      </w:r>
    </w:p>
    <w:p>
      <w:r>
        <w:t>/ 10 21.7 Tage x 0.8). Bei einer vom Beschwerdegegner auferlegten Einstellungsdauer von 20 Tagen in der Anspruchsberechtigung ergibt dies einen Streitwert von CHF 3'287.00 (20 Tage x CHF 164.35). Da der Streitwert somit unter CHF 10'000.00 liegt und die Streitsache nicht in Fünferbesetzung entschieden werden muss, ist die einzelrichterliche Zuständigkeit gegeben. 2. Streitig und zu prüfen ist, ob der Beschwerdegegner den Beschwerdeführer zu Recht für 20 Tage in der Anspruchsberechtigung auf Arbeitslosenversicherungstaggeld eingestellt hat, weil er Kontrollvorschriften/Weisungen des RAV nicht befolgt und namentlich eine zumutbare Stelle abgelehnt hat. 3.1. Der Versicherte, der Versicherungsleistungen beanspruchen will, hat im Rahmen seiner Schadenminderungspflicht alles Zumutbare zu unternehmen, um Arbeitslosigkeit zu vermeiden oder zu verkürzen. Insbesondere ist er verpflichtet, Arbeit zu suchen, nötigenfalls auch ausserhalb seines bisherigen Berufes. Er muss seine Bemühungen nachweisen können (Art. 17 Abs. 1 AVIG). Der Versicherte hat eine vermittelte zumutbare Arbeit unverzüglich anzunehmen (vgl. Art. 17 Abs. 3 Satz 1 AVIG). Die verschiedenen damit verbundenen Pflichten sind als blosse Obliegenheiten nur insofern durchsetzbar, als deren Verletzung leistungsrechtliche Sanktionen in Form der Einstellung in der Anspruchsberechtigung (vgl. Art. 30 AVIG) nach sich zieht. Diese hat die Funktion einer Haftungsbegrenzung für Schäden, die die versicherte Person hätte vermeiden oder vermindern können. Als verwaltungsrechtliche Sanktion ist sie vom Gesetzmässigkeits-, Verhältnismässigkeits- und Verschuldensprinzip beherrscht (vgl. Urteil des Bundesgerichts 8C_468/2020 vom 27. Oktober 2020 E. 3.1). 3.2. Gemäss Art. 30 Abs. 1 lit. d AVIG ist der Versicherte in der Anspruchsberechtigung einzustellen, wenn er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verunmöglicht. Der Tatbestand von Art. 30 Abs. 1 lit. d AVIG betreffend Nichtannahme einer zumutbaren Arbeit ist nach der Rechtsprechung auch dann erfüllt, wenn der Versicherte die Arbeit zwar nicht ausdrücklich ablehnt, es aber durch sein Verhalten in Kauf nimmt, dass die Stelle anderweitig besetzt wird. Mithin erfasst der Tatbestand jedes Verhalten, welches das Zustandekommen des Arbeitsvertrags scheitern lässt (vgl. Urteile des Bundesgerichts 8C_709/2022 vom 14. September 2023 E. 3.3, 8C_750/2019 vom</w:t>
      </w:r>
    </w:p>
    <w:p>
      <w:r>
        <w:rPr>
          <w:b/>
        </w:rPr>
        <w:t>E. 6.1</w:t>
      </w:r>
    </w:p>
    <w:p>
      <w:r>
        <w:t>Gemäss Art. 61 lit. fbis ATSG ist das kantonale Beschwerdeverfahren vor dem kantonalen Versicherungsgericht bei Streitigkeiten über Leistungen kostenpflichtig, wenn dies im jeweiligen Einzelgesetz vorgesehen ist. Das AVIG statuiert keine Kostenpflicht, womit diesbezügliche Beschwerdeverfahren in der Regel kostenlos sind. Vorbehalten bleibt die Kostenauflage infolge mutwilligen oder leichtsinnigen Verhaltens (Art. 61 lit. fbis in fine ATSG). Da weder Mutwilligkeit noch Leichtsinn vorliegen, sind für das vorliegende Verfahren keine Kosten zu erheben.</w:t>
      </w:r>
    </w:p>
    <w:p>
      <w:r>
        <w:rPr>
          <w:b/>
        </w:rPr>
        <w:t>E. 6.2</w:t>
      </w:r>
    </w:p>
    <w:p>
      <w:r>
        <w:t>Der nicht anwaltlich vertretene obsiegende Beschwerdeführer hat praxisgemäss keinen Anspruch auf einen Parteikostenersatz zu (Art. 61 lit. g ATSG).</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